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2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</w:t>
      </w:r>
      <w:hyperlink r:id="rId3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hyperlink r:id="rId4">
        <w:r>
          <w:rPr>
            <w:rStyle w:val="InternetLink"/>
          </w:rPr>
          <w:t>https://www.paragraf.rs/propisi/zakon_o_ucenickom_i_studentskom_standardu.html</w:t>
        </w:r>
      </w:hyperlink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5983B0"/>
          <w:lang w:val="sr-RS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irot.rs/index.php/dokumenta/statut-opstine-pirot-2" TargetMode="External"/><Relationship Id="rId3" Type="http://schemas.openxmlformats.org/officeDocument/2006/relationships/hyperlink" Target="https://www.pirot.rs/index.php/8-cirilica/4927-izrada-plana-razvoja-grada-pirota-za-period-2021-2028-godine-2" TargetMode="External"/><Relationship Id="rId4" Type="http://schemas.openxmlformats.org/officeDocument/2006/relationships/hyperlink" Target="https://www.paragraf.rs/propisi/zakon_o_ucenickom_i_studentskom_standardu.htm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LibreOffice/6.4.6.2$Windows_X86_64 LibreOffice_project/0ce51a4fd21bff07a5c061082cc82c5ed232f115</Application>
  <Pages>1</Pages>
  <Words>52</Words>
  <Characters>534</Characters>
  <CharactersWithSpaces>622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2026-02-13T12:36:49Z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